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  <w:bookmarkStart w:id="0" w:name="_GoBack"/>
      <w:bookmarkEnd w:id="0"/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r w:rsidR="009C3D2B">
        <w:rPr>
          <w:color w:val="auto"/>
          <w:lang w:val="uk-UA"/>
        </w:rPr>
        <w:t>Дергачівського</w:t>
      </w:r>
      <w:r w:rsidRPr="001124F0">
        <w:rPr>
          <w:color w:val="auto"/>
          <w:lang w:val="uk-UA"/>
        </w:rPr>
        <w:t xml:space="preserve"> районного</w:t>
      </w:r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194C5B">
        <w:rPr>
          <w:color w:val="auto"/>
          <w:lang w:val="uk-UA"/>
        </w:rPr>
        <w:t>2</w:t>
      </w:r>
      <w:r w:rsidR="004971F1">
        <w:rPr>
          <w:color w:val="auto"/>
          <w:lang w:val="uk-UA"/>
        </w:rPr>
        <w:t>6</w:t>
      </w:r>
      <w:r w:rsidR="00194C5B">
        <w:rPr>
          <w:color w:val="auto"/>
          <w:lang w:val="uk-UA"/>
        </w:rPr>
        <w:t>.10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96215A">
        <w:rPr>
          <w:color w:val="auto"/>
          <w:lang w:val="uk-UA"/>
        </w:rPr>
        <w:t>8</w:t>
      </w:r>
      <w:r w:rsidR="00C809F1">
        <w:rPr>
          <w:color w:val="auto"/>
          <w:lang w:val="uk-UA"/>
        </w:rPr>
        <w:t>7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секретаря</w:t>
      </w:r>
      <w:r w:rsidR="00630552">
        <w:rPr>
          <w:rStyle w:val="rvts15"/>
          <w:b/>
        </w:rPr>
        <w:t xml:space="preserve"> судового засідання</w:t>
      </w:r>
      <w:r w:rsidR="00722DFA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C13F25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194C5B">
              <w:rPr>
                <w:color w:val="auto"/>
                <w:szCs w:val="24"/>
                <w:lang w:val="uk-UA"/>
              </w:rPr>
              <w:t>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  <w:lang w:val="uk-UA"/>
              </w:rPr>
              <w:t xml:space="preserve">судового засідання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194C5B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630552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судового засідання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Дергачівського районного суду Харківської області: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  судові   виклики   та   повідомлення   в   справах,   які знаходяться у провадженні судді; 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надсилання процесуальних документів в електронному вигляді та текстів судових повісток у вигляді 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повідомлень;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та розміщення списків справ, призначених до розгляду;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еревіряє наявність і з'ясовує причини відсутності  осіб, яких викликано до суду, і доповідає про це головуючому судді;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  <w:lang w:val="uk-UA"/>
              </w:rPr>
            </w:pPr>
            <w:r>
              <w:rPr>
                <w:spacing w:val="-4"/>
                <w:szCs w:val="24"/>
                <w:lang w:val="uk-UA"/>
              </w:rPr>
              <w:t>- з</w:t>
            </w:r>
            <w:r w:rsidRPr="00630552">
              <w:rPr>
                <w:spacing w:val="-4"/>
                <w:szCs w:val="24"/>
                <w:lang w:val="uk-UA"/>
              </w:rPr>
              <w:t>дійснює фіксування процесуальних дій, проведених у режимі відеоконференції</w:t>
            </w:r>
            <w:r w:rsidRPr="00630552">
              <w:rPr>
                <w:szCs w:val="24"/>
                <w:shd w:val="clear" w:color="auto" w:fill="FFFFFF"/>
                <w:lang w:val="uk-UA"/>
              </w:rPr>
              <w:t xml:space="preserve">, відповідно до Інструкції </w:t>
            </w:r>
            <w:r w:rsidRPr="00630552">
              <w:rPr>
                <w:szCs w:val="24"/>
                <w:lang w:val="uk-UA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>
              <w:rPr>
                <w:szCs w:val="24"/>
                <w:shd w:val="clear" w:color="auto" w:fill="FFFFFF"/>
                <w:lang w:val="uk-UA"/>
              </w:rPr>
              <w:t>з</w:t>
            </w:r>
            <w:r w:rsidRPr="00630552">
              <w:rPr>
                <w:szCs w:val="24"/>
                <w:shd w:val="clear" w:color="auto" w:fill="FFFFFF"/>
              </w:rPr>
              <w:t>дійснює запис  фонограми або відеофонограми на носії відеозапису створивши архівну та робочу копії;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оздруковує журнал судового засідання, веде протокол судового засідання;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заходи щодо вручення копії вироку обвинуваченому та прокурору відповідно до  вимог Кримінального процесуального кодексу України;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виконавчі листи у справах, за якими передбачено негайне виконання;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в установленому законом порядку інформації про стан розгляду справ;</w:t>
            </w:r>
          </w:p>
          <w:p w:rsidR="00194C5B" w:rsidRDefault="00630552" w:rsidP="00630552">
            <w:pPr>
              <w:pStyle w:val="a5"/>
              <w:rPr>
                <w:spacing w:val="-7"/>
                <w:lang w:val="uk-UA"/>
              </w:rPr>
            </w:pPr>
            <w:r w:rsidRPr="00B52185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  <w:r w:rsidRPr="00B52185">
              <w:rPr>
                <w:rFonts w:ascii="Times New Roman" w:hAnsi="Times New Roman"/>
                <w:szCs w:val="24"/>
              </w:rPr>
              <w:t>формлює матеріали судових справ і здійснює передачу справ до канцелярії суду.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332A50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332A50">
              <w:rPr>
                <w:color w:val="auto"/>
                <w:sz w:val="22"/>
                <w:szCs w:val="22"/>
                <w:lang w:val="uk-UA"/>
              </w:rPr>
              <w:t>81</w:t>
            </w:r>
            <w:r w:rsidR="00F156C2">
              <w:rPr>
                <w:color w:val="auto"/>
                <w:sz w:val="22"/>
                <w:szCs w:val="22"/>
                <w:lang w:val="uk-UA"/>
              </w:rPr>
              <w:t>0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D1996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Безтроково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3"/>
            <w:bookmarkEnd w:id="1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4"/>
            <w:bookmarkEnd w:id="2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3" w:name="n1175"/>
            <w:bookmarkStart w:id="4" w:name="n1176"/>
            <w:bookmarkEnd w:id="3"/>
            <w:bookmarkEnd w:id="4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5" w:name="n1446"/>
            <w:bookmarkStart w:id="6" w:name="n1177"/>
            <w:bookmarkEnd w:id="5"/>
            <w:bookmarkEnd w:id="6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2E4AF3">
              <w:rPr>
                <w:b/>
                <w:color w:val="auto"/>
                <w:szCs w:val="24"/>
                <w:lang w:val="uk-UA"/>
              </w:rPr>
              <w:t>0</w:t>
            </w:r>
            <w:r w:rsidR="00973863">
              <w:rPr>
                <w:b/>
                <w:color w:val="auto"/>
                <w:szCs w:val="24"/>
                <w:lang w:val="uk-UA"/>
              </w:rPr>
              <w:t>2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місце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336F7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</w:t>
            </w:r>
            <w:r w:rsidR="00630552">
              <w:rPr>
                <w:b/>
                <w:bCs/>
                <w:color w:val="auto"/>
                <w:szCs w:val="24"/>
                <w:lang w:val="uk-UA"/>
              </w:rPr>
              <w:t>4</w:t>
            </w:r>
            <w:r>
              <w:rPr>
                <w:b/>
                <w:bCs/>
                <w:color w:val="auto"/>
                <w:szCs w:val="24"/>
                <w:lang w:val="uk-UA"/>
              </w:rPr>
              <w:t xml:space="preserve"> листопада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Садикова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A849A1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Володіння 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>2) стресостійкість.</w:t>
            </w:r>
          </w:p>
        </w:tc>
      </w:tr>
      <w:tr w:rsidR="001124F0" w:rsidRPr="00332A5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1124F0">
              <w:rPr>
                <w:b/>
                <w:lang w:eastAsia="ru-RU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lastRenderedPageBreak/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4E"/>
    <w:rsid w:val="0008101D"/>
    <w:rsid w:val="00083A39"/>
    <w:rsid w:val="00096F9E"/>
    <w:rsid w:val="000E273D"/>
    <w:rsid w:val="001124F0"/>
    <w:rsid w:val="00162ADE"/>
    <w:rsid w:val="001818F6"/>
    <w:rsid w:val="00181E96"/>
    <w:rsid w:val="00194C5B"/>
    <w:rsid w:val="001A0BAF"/>
    <w:rsid w:val="001E3CCD"/>
    <w:rsid w:val="00235ACB"/>
    <w:rsid w:val="0024292A"/>
    <w:rsid w:val="002A2578"/>
    <w:rsid w:val="002E4AF3"/>
    <w:rsid w:val="003017EB"/>
    <w:rsid w:val="00316615"/>
    <w:rsid w:val="00332A50"/>
    <w:rsid w:val="00357B61"/>
    <w:rsid w:val="00371666"/>
    <w:rsid w:val="003C7942"/>
    <w:rsid w:val="00467204"/>
    <w:rsid w:val="004971F1"/>
    <w:rsid w:val="0049764A"/>
    <w:rsid w:val="004B7B4E"/>
    <w:rsid w:val="004C1FFB"/>
    <w:rsid w:val="005003DB"/>
    <w:rsid w:val="00505F50"/>
    <w:rsid w:val="005422C4"/>
    <w:rsid w:val="005A7526"/>
    <w:rsid w:val="00603038"/>
    <w:rsid w:val="00605632"/>
    <w:rsid w:val="00616ED0"/>
    <w:rsid w:val="00630552"/>
    <w:rsid w:val="006336F7"/>
    <w:rsid w:val="006421C9"/>
    <w:rsid w:val="00690E08"/>
    <w:rsid w:val="006D1996"/>
    <w:rsid w:val="006D3646"/>
    <w:rsid w:val="00722DFA"/>
    <w:rsid w:val="00750DA0"/>
    <w:rsid w:val="007756EC"/>
    <w:rsid w:val="0078158D"/>
    <w:rsid w:val="007B53B1"/>
    <w:rsid w:val="00833305"/>
    <w:rsid w:val="00843B4B"/>
    <w:rsid w:val="00856567"/>
    <w:rsid w:val="008609CD"/>
    <w:rsid w:val="00872EF0"/>
    <w:rsid w:val="008A4AFC"/>
    <w:rsid w:val="009413EC"/>
    <w:rsid w:val="00941A4E"/>
    <w:rsid w:val="0096215A"/>
    <w:rsid w:val="00973863"/>
    <w:rsid w:val="0097689D"/>
    <w:rsid w:val="00991C1B"/>
    <w:rsid w:val="009C3D2B"/>
    <w:rsid w:val="00A277CD"/>
    <w:rsid w:val="00A62BF3"/>
    <w:rsid w:val="00A849A1"/>
    <w:rsid w:val="00AF5820"/>
    <w:rsid w:val="00AF7212"/>
    <w:rsid w:val="00B06950"/>
    <w:rsid w:val="00B30738"/>
    <w:rsid w:val="00B56EAB"/>
    <w:rsid w:val="00BA2B36"/>
    <w:rsid w:val="00C0140D"/>
    <w:rsid w:val="00C17815"/>
    <w:rsid w:val="00C20E87"/>
    <w:rsid w:val="00C809F1"/>
    <w:rsid w:val="00CF194F"/>
    <w:rsid w:val="00D3402A"/>
    <w:rsid w:val="00D62E45"/>
    <w:rsid w:val="00D705FA"/>
    <w:rsid w:val="00D77804"/>
    <w:rsid w:val="00DB1243"/>
    <w:rsid w:val="00DD78AE"/>
    <w:rsid w:val="00DF11F9"/>
    <w:rsid w:val="00DF59C9"/>
    <w:rsid w:val="00DF7CB6"/>
    <w:rsid w:val="00E026C9"/>
    <w:rsid w:val="00E0479A"/>
    <w:rsid w:val="00E135CB"/>
    <w:rsid w:val="00EE3897"/>
    <w:rsid w:val="00F156C2"/>
    <w:rsid w:val="00F22A5F"/>
    <w:rsid w:val="00F512C1"/>
    <w:rsid w:val="00FA0A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BF71-1908-4D7D-A1D3-6B9BA2E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619-3</cp:lastModifiedBy>
  <cp:revision>2</cp:revision>
  <cp:lastPrinted>2021-04-23T12:04:00Z</cp:lastPrinted>
  <dcterms:created xsi:type="dcterms:W3CDTF">2021-10-27T13:01:00Z</dcterms:created>
  <dcterms:modified xsi:type="dcterms:W3CDTF">2021-10-27T13:01:00Z</dcterms:modified>
</cp:coreProperties>
</file>